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9"/>
        <w:ind w:left="150"/>
      </w:pPr>
      <w:r>
        <w:rPr/>
        <w:t>Anexo</w:t>
      </w:r>
      <w:r>
        <w:rPr>
          <w:spacing w:val="-4"/>
        </w:rPr>
        <w:t> </w:t>
      </w:r>
      <w:r>
        <w:rPr/>
        <w:t>7.1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Exceto</w:t>
      </w:r>
      <w:r>
        <w:rPr>
          <w:spacing w:val="-4"/>
        </w:rPr>
        <w:t> </w:t>
      </w:r>
      <w:r>
        <w:rPr/>
        <w:t>término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mandato</w:t>
      </w: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36"/>
        <w:gridCol w:w="798"/>
        <w:gridCol w:w="5931"/>
        <w:gridCol w:w="1022"/>
        <w:gridCol w:w="1421"/>
        <w:gridCol w:w="1022"/>
      </w:tblGrid>
      <w:tr>
        <w:trPr>
          <w:trHeight w:val="263" w:hRule="atLeast"/>
        </w:trPr>
        <w:tc>
          <w:tcPr>
            <w:tcW w:w="3141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6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avaliação</w:t>
            </w:r>
          </w:p>
        </w:tc>
        <w:tc>
          <w:tcPr>
            <w:tcW w:w="6729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076" w:right="30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</w:p>
        </w:tc>
        <w:tc>
          <w:tcPr>
            <w:tcW w:w="3465" w:type="dxa"/>
            <w:gridSpan w:val="3"/>
            <w:shd w:val="clear" w:color="auto" w:fill="BEBEBE"/>
          </w:tcPr>
          <w:p>
            <w:pPr>
              <w:pStyle w:val="TableParagraph"/>
              <w:spacing w:line="244" w:lineRule="exact"/>
              <w:ind w:left="101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Risco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mitigado?</w:t>
            </w:r>
          </w:p>
        </w:tc>
      </w:tr>
      <w:tr>
        <w:trPr>
          <w:trHeight w:val="672" w:hRule="atLeast"/>
        </w:trPr>
        <w:tc>
          <w:tcPr>
            <w:tcW w:w="3141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9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47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Sim</w:t>
            </w:r>
          </w:p>
        </w:tc>
        <w:tc>
          <w:tcPr>
            <w:tcW w:w="1421" w:type="dxa"/>
            <w:shd w:val="clear" w:color="auto" w:fill="BEBEBE"/>
          </w:tcPr>
          <w:p>
            <w:pPr>
              <w:pStyle w:val="TableParagraph"/>
              <w:spacing w:line="254" w:lineRule="auto" w:before="59"/>
              <w:ind w:left="295" w:right="71" w:hanging="19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Parcialmente</w:t>
            </w:r>
            <w:r>
              <w:rPr>
                <w:rFonts w:ascii="Calibri"/>
                <w:b/>
                <w:spacing w:val="-4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</w:t>
            </w: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28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Não</w:t>
            </w:r>
          </w:p>
        </w:tc>
      </w:tr>
      <w:tr>
        <w:trPr>
          <w:trHeight w:val="71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8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Audiências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Públicas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7.1.1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tabs>
                <w:tab w:pos="4878" w:val="left" w:leader="none"/>
              </w:tabs>
              <w:spacing w:line="256" w:lineRule="auto"/>
              <w:ind w:left="36" w:right="15"/>
              <w:rPr>
                <w:sz w:val="20"/>
              </w:rPr>
            </w:pPr>
            <w:r>
              <w:rPr>
                <w:sz w:val="20"/>
              </w:rPr>
              <w:t>Impontualidade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realização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audiências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públicas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avaliar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cumprimento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metas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fiscais,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estabelecidas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no</w:t>
              <w:tab/>
              <w:t>§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4º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art.</w:t>
            </w:r>
          </w:p>
          <w:p>
            <w:pPr>
              <w:pStyle w:val="TableParagraph"/>
              <w:spacing w:line="207" w:lineRule="exact"/>
              <w:ind w:left="36"/>
              <w:rPr>
                <w:sz w:val="20"/>
              </w:rPr>
            </w:pPr>
            <w:r>
              <w:rPr>
                <w:sz w:val="20"/>
              </w:rPr>
              <w:t>9º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Complementar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101/2000.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27" w:lineRule="exact"/>
              <w:ind w:left="37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Endividamento</w:t>
            </w:r>
          </w:p>
          <w:p>
            <w:pPr>
              <w:pStyle w:val="TableParagraph"/>
              <w:spacing w:line="213" w:lineRule="exact" w:before="17"/>
              <w:ind w:left="37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Garantia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estoque</w:t>
            </w:r>
            <w:r>
              <w:rPr>
                <w:spacing w:val="66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65"/>
                <w:sz w:val="20"/>
              </w:rPr>
              <w:t> </w:t>
            </w:r>
            <w:r>
              <w:rPr>
                <w:sz w:val="20"/>
              </w:rPr>
              <w:t>dívida,</w:t>
            </w:r>
            <w:r>
              <w:rPr>
                <w:spacing w:val="63"/>
                <w:sz w:val="20"/>
              </w:rPr>
              <w:t> </w:t>
            </w:r>
            <w:r>
              <w:rPr>
                <w:sz w:val="20"/>
              </w:rPr>
              <w:t>previsto</w:t>
            </w:r>
            <w:r>
              <w:rPr>
                <w:spacing w:val="67"/>
                <w:sz w:val="20"/>
              </w:rPr>
              <w:t> </w:t>
            </w:r>
            <w:r>
              <w:rPr>
                <w:sz w:val="20"/>
              </w:rPr>
              <w:t>na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resolução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40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Senado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Federal.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1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18"/>
              <w:ind w:left="37" w:right="125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Endividamento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Garantia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7.2.2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18"/>
              <w:ind w:left="36" w:right="15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contratação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operações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crédito,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previsto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resolução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43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Senado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Federal.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14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815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66"/>
              <w:ind w:left="37" w:right="125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Endividamento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Garantia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7.2.3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66"/>
              <w:ind w:left="36" w:right="15"/>
              <w:rPr>
                <w:sz w:val="20"/>
              </w:rPr>
            </w:pPr>
            <w:r>
              <w:rPr>
                <w:sz w:val="20"/>
              </w:rPr>
              <w:t>Realizar</w:t>
            </w:r>
            <w:r>
              <w:rPr>
                <w:spacing w:val="22"/>
                <w:sz w:val="20"/>
              </w:rPr>
              <w:t> </w:t>
            </w:r>
            <w:r>
              <w:rPr>
                <w:sz w:val="20"/>
              </w:rPr>
              <w:t>operações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crédito</w:t>
            </w:r>
            <w:r>
              <w:rPr>
                <w:spacing w:val="22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ultrapassem</w:t>
            </w:r>
            <w:r>
              <w:rPr>
                <w:spacing w:val="2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despesas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capital,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desacordo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CF/88,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167,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III.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44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845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82"/>
              <w:ind w:left="37" w:right="125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Endividamento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Garantia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7.2.4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82"/>
              <w:ind w:left="36" w:right="15"/>
              <w:rPr>
                <w:sz w:val="20"/>
              </w:rPr>
            </w:pPr>
            <w:r>
              <w:rPr>
                <w:sz w:val="20"/>
              </w:rPr>
              <w:t>Realizar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operação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crédito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antecipação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receita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desacordo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regras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previstas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38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LRF.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27" w:lineRule="exact"/>
              <w:ind w:left="37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Endividamento</w:t>
            </w:r>
          </w:p>
          <w:p>
            <w:pPr>
              <w:pStyle w:val="TableParagraph"/>
              <w:spacing w:line="213" w:lineRule="exact" w:before="17"/>
              <w:ind w:left="37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Garantia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7.2.5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Conceder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garantia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contragarantia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em desacordo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art. 40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LRF.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58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858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9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7.3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89"/>
              <w:ind w:left="37" w:right="591"/>
              <w:rPr>
                <w:sz w:val="20"/>
              </w:rPr>
            </w:pPr>
            <w:r>
              <w:rPr>
                <w:sz w:val="20"/>
              </w:rPr>
              <w:t>Repasse de Recurso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Financeiros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FME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9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7.3.1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89"/>
              <w:ind w:left="36" w:right="15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quanto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às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normas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estabelecidas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§5º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artigo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69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9.394,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20.12.1996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LDB.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859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1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7.4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8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Sistema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tributação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7.4.1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Existência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tributação</w:t>
            </w:r>
            <w:r>
              <w:rPr>
                <w:spacing w:val="38"/>
                <w:sz w:val="20"/>
              </w:rPr>
              <w:t> </w:t>
            </w:r>
            <w:r>
              <w:rPr>
                <w:sz w:val="20"/>
              </w:rPr>
              <w:t>deficiente,</w:t>
            </w:r>
            <w:r>
              <w:rPr>
                <w:spacing w:val="36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37"/>
                <w:sz w:val="20"/>
              </w:rPr>
              <w:t> </w:t>
            </w:r>
            <w:r>
              <w:rPr>
                <w:sz w:val="20"/>
              </w:rPr>
              <w:t>prejudica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a</w:t>
            </w:r>
          </w:p>
          <w:p>
            <w:pPr>
              <w:pStyle w:val="TableParagraph"/>
              <w:spacing w:line="240" w:lineRule="atLeast"/>
              <w:ind w:left="36" w:right="15"/>
              <w:rPr>
                <w:sz w:val="20"/>
              </w:rPr>
            </w:pPr>
            <w:r>
              <w:rPr>
                <w:sz w:val="20"/>
              </w:rPr>
              <w:t>efetiva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arrecadação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tributos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instituídos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município,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contrariando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norma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11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LRF.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14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0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before="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11.1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line="256" w:lineRule="auto" w:before="111"/>
              <w:ind w:left="37"/>
              <w:rPr>
                <w:sz w:val="20"/>
              </w:rPr>
            </w:pPr>
            <w:r>
              <w:rPr>
                <w:sz w:val="20"/>
              </w:rPr>
              <w:t>Demonstrativos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Contábeis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Fiscais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before="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11.1.1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before="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Inconsistências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demonstrações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contábeis.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4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044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37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11.1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rPr>
                <w:rFonts w:ascii="Calibri"/>
                <w:sz w:val="23"/>
              </w:rPr>
            </w:pPr>
          </w:p>
          <w:p>
            <w:pPr>
              <w:pStyle w:val="TableParagraph"/>
              <w:spacing w:line="256" w:lineRule="auto"/>
              <w:ind w:left="37"/>
              <w:rPr>
                <w:sz w:val="20"/>
              </w:rPr>
            </w:pPr>
            <w:r>
              <w:rPr>
                <w:sz w:val="20"/>
              </w:rPr>
              <w:t>Demonstrativos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Contábeis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Fiscais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37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11.1.2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56" w:lineRule="auto" w:before="159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despesa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pessoal,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observando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artigos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19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Complementar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101/2000.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044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11.2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Conformidade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11.2.1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Ausência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análise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conformidade para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fins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consolidação e</w:t>
            </w:r>
          </w:p>
          <w:p>
            <w:pPr>
              <w:pStyle w:val="TableParagraph"/>
              <w:spacing w:line="213" w:lineRule="exact" w:before="16"/>
              <w:ind w:left="36"/>
              <w:rPr>
                <w:sz w:val="20"/>
              </w:rPr>
            </w:pPr>
            <w:r>
              <w:rPr>
                <w:sz w:val="20"/>
              </w:rPr>
              <w:t>encaminhamento.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770" w:h="23720"/>
          <w:pgMar w:top="1760" w:bottom="280" w:left="1780" w:right="1420"/>
        </w:sect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36"/>
        <w:gridCol w:w="798"/>
        <w:gridCol w:w="5931"/>
        <w:gridCol w:w="1022"/>
        <w:gridCol w:w="1421"/>
        <w:gridCol w:w="1022"/>
      </w:tblGrid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4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18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9"/>
              <w:rPr>
                <w:rFonts w:ascii="Calibri"/>
                <w:sz w:val="28"/>
              </w:rPr>
            </w:pPr>
          </w:p>
          <w:p>
            <w:pPr>
              <w:pStyle w:val="TableParagraph"/>
              <w:spacing w:line="256" w:lineRule="auto" w:before="1"/>
              <w:ind w:left="37" w:right="508"/>
              <w:rPr>
                <w:sz w:val="20"/>
              </w:rPr>
            </w:pPr>
            <w:r>
              <w:rPr>
                <w:sz w:val="20"/>
              </w:rPr>
              <w:t>Documentação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Prestação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Contas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13" w:lineRule="exact"/>
              <w:ind w:left="36"/>
              <w:jc w:val="both"/>
              <w:rPr>
                <w:sz w:val="20"/>
              </w:rPr>
            </w:pPr>
            <w:r>
              <w:rPr>
                <w:sz w:val="20"/>
              </w:rPr>
              <w:t>Não   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encaminhamento   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ao   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TCE-RJ   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ou   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encaminhamento</w:t>
            </w:r>
          </w:p>
          <w:p>
            <w:pPr>
              <w:pStyle w:val="TableParagraph"/>
              <w:spacing w:line="246" w:lineRule="exact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incompleto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por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meio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eletrônico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toda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documentação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solicitada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inclusive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quanto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às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recomendações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exaradas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Órgão Central de Controle Interno no momento do Controle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Qualidade.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0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line="223" w:lineRule="exact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line="227" w:lineRule="exact"/>
              <w:ind w:left="37"/>
              <w:rPr>
                <w:sz w:val="20"/>
              </w:rPr>
            </w:pPr>
            <w:r>
              <w:rPr>
                <w:sz w:val="20"/>
              </w:rPr>
              <w:t>Documentação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</w:t>
            </w:r>
          </w:p>
          <w:p>
            <w:pPr>
              <w:pStyle w:val="TableParagraph"/>
              <w:spacing w:line="213" w:lineRule="exact" w:before="17"/>
              <w:ind w:left="37"/>
              <w:rPr>
                <w:sz w:val="20"/>
              </w:rPr>
            </w:pPr>
            <w:r>
              <w:rPr>
                <w:sz w:val="20"/>
              </w:rPr>
              <w:t>Prestação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Contas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11.3.2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receber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receber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documentação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órgãos</w:t>
            </w:r>
            <w:r>
              <w:rPr>
                <w:spacing w:val="10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entidades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intempestiva.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0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line="256" w:lineRule="auto" w:before="111"/>
              <w:ind w:left="37" w:right="508"/>
              <w:rPr>
                <w:sz w:val="20"/>
              </w:rPr>
            </w:pPr>
            <w:r>
              <w:rPr>
                <w:sz w:val="20"/>
              </w:rPr>
              <w:t>Documentação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Prestação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Contas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11.3.3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observância</w:t>
            </w:r>
            <w:r>
              <w:rPr>
                <w:spacing w:val="5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prazo</w:t>
            </w:r>
            <w:r>
              <w:rPr>
                <w:spacing w:val="6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envio</w:t>
            </w:r>
            <w:r>
              <w:rPr>
                <w:spacing w:val="60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57"/>
                <w:sz w:val="20"/>
              </w:rPr>
              <w:t> </w:t>
            </w:r>
            <w:r>
              <w:rPr>
                <w:sz w:val="20"/>
              </w:rPr>
              <w:t>dados</w:t>
            </w:r>
            <w:r>
              <w:rPr>
                <w:spacing w:val="60"/>
                <w:sz w:val="20"/>
              </w:rPr>
              <w:t> </w:t>
            </w:r>
            <w:r>
              <w:rPr>
                <w:sz w:val="20"/>
              </w:rPr>
              <w:t>contábeis</w:t>
            </w:r>
            <w:r>
              <w:rPr>
                <w:spacing w:val="58"/>
                <w:sz w:val="20"/>
              </w:rPr>
              <w:t> </w:t>
            </w:r>
            <w:r>
              <w:rPr>
                <w:sz w:val="20"/>
              </w:rPr>
              <w:t>ao</w:t>
            </w:r>
          </w:p>
          <w:p>
            <w:pPr>
              <w:pStyle w:val="TableParagraph"/>
              <w:spacing w:line="240" w:lineRule="atLeast"/>
              <w:ind w:left="36" w:right="15"/>
              <w:rPr>
                <w:sz w:val="20"/>
              </w:rPr>
            </w:pPr>
            <w:r>
              <w:rPr>
                <w:sz w:val="20"/>
              </w:rPr>
              <w:t>Órgão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Central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Controle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17"/>
                <w:sz w:val="20"/>
              </w:rPr>
              <w:t> </w:t>
            </w:r>
            <w:r>
              <w:rPr>
                <w:sz w:val="20"/>
              </w:rPr>
              <w:t>elaboração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Relatório</w:t>
            </w:r>
            <w:r>
              <w:rPr>
                <w:spacing w:val="1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Controle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Interno,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bem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Certificação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Contas.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115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4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11.4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rPr>
                <w:rFonts w:ascii="Calibri"/>
                <w:sz w:val="26"/>
              </w:rPr>
            </w:pPr>
          </w:p>
          <w:p>
            <w:pPr>
              <w:pStyle w:val="TableParagraph"/>
              <w:spacing w:line="256" w:lineRule="auto"/>
              <w:ind w:left="37" w:right="8"/>
              <w:rPr>
                <w:sz w:val="20"/>
              </w:rPr>
            </w:pPr>
            <w:r>
              <w:rPr>
                <w:sz w:val="20"/>
              </w:rPr>
              <w:t>Contabilização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receitas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4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11.4.1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56" w:lineRule="auto" w:before="71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contabilização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contabilização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incorreta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receitas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oriundas dos royalties, em especial as relacionadas à Lei Federal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12.858/2013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(Pré-sal)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13.885/2019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(Royalties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título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cessão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onerosa).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8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11.5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Arrecadação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Receita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11.5.1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before="8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planejar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fiscalização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receitas.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4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11.5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Arrecadação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Receita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11.5.2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Ausência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monitoramento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arrecadação.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</w:tbl>
    <w:sectPr>
      <w:pgSz w:w="16770" w:h="23720"/>
      <w:pgMar w:top="1500" w:bottom="280" w:left="178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Fioretti</dc:creator>
  <dcterms:created xsi:type="dcterms:W3CDTF">2022-04-05T19:08:51Z</dcterms:created>
  <dcterms:modified xsi:type="dcterms:W3CDTF">2022-04-05T19:08:51Z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2022-04-05T00:00:00Z</vt:filetime>
  </property>
</Properties>
</file>